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11"/>
          <w:rFonts w:ascii="微软雅黑" w:hAnsi="微软雅黑" w:eastAsia="微软雅黑"/>
          <w:color w:val="333333"/>
          <w:highlight w:val="none"/>
          <w:shd w:val="clear" w:color="auto" w:fill="FFFFFF"/>
        </w:rPr>
      </w:pPr>
    </w:p>
    <w:p>
      <w:pPr>
        <w:widowControl/>
        <w:jc w:val="left"/>
        <w:rPr>
          <w:rFonts w:ascii="方正小标宋简体" w:hAnsi="方正小标宋简体" w:eastAsia="方正小标宋简体" w:cs="方正小标宋简体"/>
          <w:bCs/>
          <w:sz w:val="36"/>
          <w:szCs w:val="36"/>
          <w:highlight w:val="none"/>
        </w:rPr>
      </w:pPr>
      <w:r>
        <w:rPr>
          <w:rFonts w:hint="eastAsia" w:ascii="方正小标宋简体" w:hAnsi="方正小标宋简体" w:eastAsia="方正小标宋简体" w:cs="方正小标宋简体"/>
          <w:bCs/>
          <w:sz w:val="36"/>
          <w:szCs w:val="36"/>
          <w:highlight w:val="none"/>
        </w:rPr>
        <w:t xml:space="preserve">  第三届长三角青少年人工智能奥林匹克挑战赛</w:t>
      </w:r>
    </w:p>
    <w:p>
      <w:pPr>
        <w:spacing w:line="560" w:lineRule="exact"/>
        <w:jc w:val="center"/>
        <w:rPr>
          <w:rFonts w:ascii="方正小标宋简体" w:hAnsi="方正小标宋简体" w:eastAsia="方正小标宋简体" w:cs="方正小标宋简体"/>
          <w:bCs/>
          <w:sz w:val="36"/>
          <w:szCs w:val="36"/>
          <w:highlight w:val="none"/>
        </w:rPr>
      </w:pPr>
      <w:r>
        <w:rPr>
          <w:rFonts w:hint="eastAsia" w:ascii="方正小标宋简体" w:hAnsi="方正小标宋简体" w:eastAsia="方正小标宋简体" w:cs="方正小标宋简体"/>
          <w:bCs/>
          <w:sz w:val="36"/>
          <w:szCs w:val="36"/>
          <w:highlight w:val="none"/>
        </w:rPr>
        <w:t>嘉年华——绘画活动方案</w:t>
      </w:r>
    </w:p>
    <w:p>
      <w:pPr>
        <w:spacing w:line="560" w:lineRule="exact"/>
        <w:jc w:val="center"/>
        <w:rPr>
          <w:rFonts w:ascii="方正小标宋简体" w:hAnsi="方正小标宋简体" w:eastAsia="方正小标宋简体" w:cs="方正小标宋简体"/>
          <w:bCs/>
          <w:sz w:val="36"/>
          <w:szCs w:val="36"/>
          <w:highlight w:val="none"/>
        </w:rPr>
      </w:pPr>
    </w:p>
    <w:p>
      <w:pPr>
        <w:adjustRightInd w:val="0"/>
        <w:snapToGrid w:val="0"/>
        <w:spacing w:line="560" w:lineRule="exact"/>
        <w:ind w:firstLine="567" w:firstLineChars="189"/>
        <w:rPr>
          <w:rFonts w:ascii="仿宋_GB2312" w:hAnsi="仿宋_GB2312" w:eastAsia="仿宋_GB2312" w:cs="仿宋_GB2312"/>
          <w:bCs/>
          <w:sz w:val="30"/>
          <w:szCs w:val="30"/>
          <w:highlight w:val="none"/>
        </w:rPr>
      </w:pPr>
      <w:r>
        <w:rPr>
          <w:rFonts w:hint="eastAsia" w:ascii="仿宋_GB2312" w:hAnsi="仿宋_GB2312" w:eastAsia="仿宋_GB2312" w:cs="仿宋_GB2312"/>
          <w:bCs/>
          <w:sz w:val="30"/>
          <w:szCs w:val="30"/>
          <w:highlight w:val="none"/>
        </w:rPr>
        <w:t>本届绘画活动的主题为“木版水印的AI之旅”。</w:t>
      </w:r>
      <w:r>
        <w:rPr>
          <w:rFonts w:hint="eastAsia" w:ascii="仿宋_GB2312" w:hAnsi="仿宋_GB2312" w:eastAsia="仿宋_GB2312" w:cs="仿宋_GB2312"/>
          <w:b/>
          <w:bCs/>
          <w:sz w:val="30"/>
          <w:szCs w:val="30"/>
          <w:highlight w:val="none"/>
        </w:rPr>
        <w:t>木版水印</w:t>
      </w:r>
      <w:r>
        <w:rPr>
          <w:rFonts w:hint="eastAsia" w:ascii="仿宋_GB2312" w:hAnsi="仿宋_GB2312" w:eastAsia="仿宋_GB2312" w:cs="仿宋_GB2312"/>
          <w:bCs/>
          <w:sz w:val="30"/>
          <w:szCs w:val="30"/>
          <w:highlight w:val="none"/>
        </w:rPr>
        <w:t>是国家级非物质文化遗产之一，将传统绘画“</w:t>
      </w:r>
      <w:r>
        <w:rPr>
          <w:rFonts w:hint="eastAsia" w:ascii="仿宋_GB2312" w:hAnsi="仿宋_GB2312" w:eastAsia="仿宋_GB2312" w:cs="仿宋_GB2312"/>
          <w:b/>
          <w:bCs/>
          <w:sz w:val="30"/>
          <w:szCs w:val="30"/>
          <w:highlight w:val="none"/>
        </w:rPr>
        <w:t>解构</w:t>
      </w:r>
      <w:r>
        <w:rPr>
          <w:rFonts w:hint="eastAsia" w:ascii="仿宋_GB2312" w:hAnsi="仿宋_GB2312" w:eastAsia="仿宋_GB2312" w:cs="仿宋_GB2312"/>
          <w:bCs/>
          <w:sz w:val="30"/>
          <w:szCs w:val="30"/>
          <w:highlight w:val="none"/>
        </w:rPr>
        <w:t>”，雕刻制作分版，再使用水墨拓印技术“</w:t>
      </w:r>
      <w:r>
        <w:rPr>
          <w:rFonts w:hint="eastAsia" w:ascii="仿宋_GB2312" w:hAnsi="仿宋_GB2312" w:eastAsia="仿宋_GB2312" w:cs="仿宋_GB2312"/>
          <w:b/>
          <w:bCs/>
          <w:sz w:val="30"/>
          <w:szCs w:val="30"/>
          <w:highlight w:val="none"/>
        </w:rPr>
        <w:t>重构</w:t>
      </w:r>
      <w:r>
        <w:rPr>
          <w:rFonts w:hint="eastAsia" w:ascii="仿宋_GB2312" w:hAnsi="仿宋_GB2312" w:eastAsia="仿宋_GB2312" w:cs="仿宋_GB2312"/>
          <w:bCs/>
          <w:sz w:val="30"/>
          <w:szCs w:val="30"/>
          <w:highlight w:val="none"/>
        </w:rPr>
        <w:t>”图像。学生根据上海朵云轩提供的明代画家沈周的《两江名胜图》木版水印画册及雕版，共十幅描绘长江、淮河两岸的山水景致和名胜古迹作品，运用</w:t>
      </w:r>
      <w:r>
        <w:rPr>
          <w:rFonts w:hint="eastAsia" w:ascii="仿宋_GB2312" w:hAnsi="仿宋_GB2312" w:eastAsia="仿宋_GB2312" w:cs="仿宋_GB2312"/>
          <w:b/>
          <w:sz w:val="30"/>
          <w:szCs w:val="30"/>
          <w:highlight w:val="none"/>
        </w:rPr>
        <w:t>人工智能</w:t>
      </w:r>
      <w:r>
        <w:rPr>
          <w:rFonts w:hint="eastAsia" w:ascii="仿宋_GB2312" w:hAnsi="仿宋_GB2312" w:eastAsia="仿宋_GB2312" w:cs="仿宋_GB2312"/>
          <w:bCs/>
          <w:sz w:val="30"/>
          <w:szCs w:val="30"/>
          <w:highlight w:val="none"/>
        </w:rPr>
        <w:t>技术“</w:t>
      </w:r>
      <w:r>
        <w:rPr>
          <w:rFonts w:hint="eastAsia" w:ascii="仿宋_GB2312" w:hAnsi="仿宋_GB2312" w:eastAsia="仿宋_GB2312" w:cs="仿宋_GB2312"/>
          <w:b/>
          <w:bCs/>
          <w:sz w:val="30"/>
          <w:szCs w:val="30"/>
          <w:highlight w:val="none"/>
        </w:rPr>
        <w:t>解构</w:t>
      </w:r>
      <w:r>
        <w:rPr>
          <w:rFonts w:hint="eastAsia" w:ascii="仿宋_GB2312" w:hAnsi="仿宋_GB2312" w:eastAsia="仿宋_GB2312" w:cs="仿宋_GB2312"/>
          <w:bCs/>
          <w:sz w:val="30"/>
          <w:szCs w:val="30"/>
          <w:highlight w:val="none"/>
        </w:rPr>
        <w:t>”绘画要素，运用算力不断创新“</w:t>
      </w:r>
      <w:r>
        <w:rPr>
          <w:rFonts w:hint="eastAsia" w:ascii="仿宋_GB2312" w:hAnsi="仿宋_GB2312" w:eastAsia="仿宋_GB2312" w:cs="仿宋_GB2312"/>
          <w:b/>
          <w:bCs/>
          <w:sz w:val="30"/>
          <w:szCs w:val="30"/>
          <w:highlight w:val="none"/>
        </w:rPr>
        <w:t>重构</w:t>
      </w:r>
      <w:r>
        <w:rPr>
          <w:rFonts w:hint="eastAsia" w:ascii="仿宋_GB2312" w:hAnsi="仿宋_GB2312" w:eastAsia="仿宋_GB2312" w:cs="仿宋_GB2312"/>
          <w:bCs/>
          <w:sz w:val="30"/>
          <w:szCs w:val="30"/>
          <w:highlight w:val="none"/>
        </w:rPr>
        <w:t>”，创作符合沈周山水画风格的《两江名胜图》的第十一幅作品，展示长三角地区的大好河山和飞速发展。</w:t>
      </w:r>
    </w:p>
    <w:p>
      <w:pPr>
        <w:adjustRightInd w:val="0"/>
        <w:snapToGrid w:val="0"/>
        <w:spacing w:line="560" w:lineRule="exact"/>
        <w:ind w:firstLine="510" w:firstLineChars="189"/>
        <w:rPr>
          <w:rFonts w:ascii="Arial" w:hAnsi="Arial" w:cs="Arial"/>
          <w:color w:val="222222"/>
          <w:sz w:val="27"/>
          <w:szCs w:val="27"/>
          <w:highlight w:val="none"/>
          <w:shd w:val="clear" w:color="auto" w:fill="FFFFFF"/>
        </w:rPr>
      </w:pP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活动主题</w:t>
      </w:r>
    </w:p>
    <w:p>
      <w:pPr>
        <w:pStyle w:val="19"/>
        <w:spacing w:line="300" w:lineRule="auto"/>
        <w:ind w:left="640" w:firstLine="0" w:firstLineChars="0"/>
        <w:rPr>
          <w:rFonts w:ascii="黑体" w:hAnsi="黑体" w:eastAsia="黑体" w:cs="黑体"/>
          <w:sz w:val="30"/>
          <w:szCs w:val="30"/>
          <w:highlight w:val="none"/>
        </w:rPr>
      </w:pPr>
      <w:r>
        <w:rPr>
          <w:rFonts w:hint="eastAsia" w:ascii="仿宋_GB2312" w:hAnsi="仿宋_GB2312" w:eastAsia="仿宋_GB2312" w:cs="仿宋_GB2312"/>
          <w:sz w:val="30"/>
          <w:szCs w:val="30"/>
          <w:highlight w:val="none"/>
        </w:rPr>
        <w:t>木版水印的AI之旅</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 xml:space="preserve">参加对象 </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长三角地区在读小学、初中、高中学生（含中职学生）</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 xml:space="preserve">组别设置 </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参加对象分为三个组别：</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小学组（上海地区学校二年级至五年级，其他地区学校二年级至六年级）</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初中组（上海地区学校六年级至九年级，其他地区学校七年级至九年级）</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高中组（十年级至十二年级，含中职）</w:t>
      </w:r>
    </w:p>
    <w:p>
      <w:pPr>
        <w:adjustRightInd w:val="0"/>
        <w:snapToGrid w:val="0"/>
        <w:spacing w:line="560" w:lineRule="exact"/>
        <w:ind w:firstLine="567" w:firstLineChars="189"/>
        <w:rPr>
          <w:rFonts w:ascii="仿宋_GB2312" w:hAnsi="仿宋_GB2312" w:eastAsia="仿宋_GB2312" w:cs="仿宋_GB2312"/>
          <w:sz w:val="30"/>
          <w:szCs w:val="30"/>
          <w:highlight w:val="none"/>
          <w:u w:val="single"/>
        </w:rPr>
      </w:pPr>
      <w:r>
        <w:rPr>
          <w:rFonts w:hint="eastAsia" w:ascii="仿宋_GB2312" w:hAnsi="仿宋_GB2312" w:eastAsia="仿宋_GB2312" w:cs="仿宋_GB2312"/>
          <w:sz w:val="30"/>
          <w:szCs w:val="30"/>
          <w:highlight w:val="none"/>
          <w:u w:val="single"/>
        </w:rPr>
        <w:t>以上年级为2023年9月，学生所在年级。</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活动内容及要求</w:t>
      </w:r>
    </w:p>
    <w:p>
      <w:pPr>
        <w:adjustRightInd w:val="0"/>
        <w:snapToGrid w:val="0"/>
        <w:spacing w:line="560" w:lineRule="exact"/>
        <w:ind w:firstLine="569" w:firstLineChars="189"/>
        <w:rPr>
          <w:rFonts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1.活动任务</w:t>
      </w:r>
    </w:p>
    <w:p>
      <w:pPr>
        <w:adjustRightInd w:val="0"/>
        <w:snapToGrid w:val="0"/>
        <w:spacing w:line="560" w:lineRule="exact"/>
        <w:ind w:firstLine="569" w:firstLineChars="189"/>
        <w:rPr>
          <w:rFonts w:ascii="仿宋_GB2312" w:hAnsi="仿宋_GB2312" w:eastAsia="仿宋_GB2312" w:cs="仿宋_GB2312"/>
          <w:sz w:val="30"/>
          <w:szCs w:val="30"/>
          <w:highlight w:val="none"/>
        </w:rPr>
      </w:pPr>
      <w:r>
        <w:rPr>
          <w:rFonts w:ascii="仿宋_GB2312" w:hAnsi="仿宋_GB2312" w:eastAsia="仿宋_GB2312" w:cs="仿宋_GB2312"/>
          <w:b/>
          <w:sz w:val="30"/>
          <w:szCs w:val="30"/>
          <w:highlight w:val="none"/>
        </w:rPr>
        <w:t>木版水印</w:t>
      </w:r>
      <w:r>
        <w:rPr>
          <w:rFonts w:hint="eastAsia" w:ascii="仿宋_GB2312" w:hAnsi="仿宋_GB2312" w:eastAsia="仿宋_GB2312" w:cs="仿宋_GB2312"/>
          <w:sz w:val="30"/>
          <w:szCs w:val="30"/>
          <w:highlight w:val="none"/>
        </w:rPr>
        <w:t>是我国特有的传统绘画的批量印刷制作工艺。中国古代人们将传统绘画</w:t>
      </w:r>
      <w:r>
        <w:rPr>
          <w:rFonts w:hint="eastAsia" w:ascii="仿宋_GB2312" w:hAnsi="仿宋_GB2312" w:eastAsia="仿宋_GB2312" w:cs="仿宋_GB2312"/>
          <w:b/>
          <w:bCs/>
          <w:sz w:val="30"/>
          <w:szCs w:val="30"/>
          <w:highlight w:val="none"/>
        </w:rPr>
        <w:t>“解构”</w:t>
      </w:r>
      <w:r>
        <w:rPr>
          <w:rFonts w:hint="eastAsia" w:ascii="仿宋_GB2312" w:hAnsi="仿宋_GB2312" w:eastAsia="仿宋_GB2312" w:cs="仿宋_GB2312"/>
          <w:sz w:val="30"/>
          <w:szCs w:val="30"/>
          <w:highlight w:val="none"/>
        </w:rPr>
        <w:t>，通过颜色分层，雕刻制作分版（木磨具），再使用水墨拓印技术</w:t>
      </w:r>
      <w:r>
        <w:rPr>
          <w:rFonts w:hint="eastAsia" w:ascii="仿宋_GB2312" w:hAnsi="仿宋_GB2312" w:eastAsia="仿宋_GB2312" w:cs="仿宋_GB2312"/>
          <w:b/>
          <w:bCs/>
          <w:sz w:val="30"/>
          <w:szCs w:val="30"/>
          <w:highlight w:val="none"/>
        </w:rPr>
        <w:t>“重构”</w:t>
      </w:r>
      <w:r>
        <w:rPr>
          <w:rFonts w:hint="eastAsia" w:ascii="仿宋_GB2312" w:hAnsi="仿宋_GB2312" w:eastAsia="仿宋_GB2312" w:cs="仿宋_GB2312"/>
          <w:sz w:val="30"/>
          <w:szCs w:val="30"/>
          <w:highlight w:val="none"/>
        </w:rPr>
        <w:t>图像。</w:t>
      </w:r>
      <w:r>
        <w:rPr>
          <w:rFonts w:ascii="仿宋_GB2312" w:hAnsi="仿宋_GB2312" w:eastAsia="仿宋_GB2312" w:cs="仿宋_GB2312"/>
          <w:bCs/>
          <w:sz w:val="30"/>
          <w:szCs w:val="30"/>
          <w:highlight w:val="none"/>
        </w:rPr>
        <w:t>木版水印</w:t>
      </w:r>
      <w:r>
        <w:rPr>
          <w:rFonts w:hint="eastAsia" w:ascii="仿宋_GB2312" w:hAnsi="仿宋_GB2312" w:eastAsia="仿宋_GB2312" w:cs="仿宋_GB2312"/>
          <w:sz w:val="30"/>
          <w:szCs w:val="30"/>
          <w:highlight w:val="none"/>
        </w:rPr>
        <w:t>是</w:t>
      </w:r>
      <w:r>
        <w:rPr>
          <w:rFonts w:ascii="仿宋_GB2312" w:hAnsi="仿宋_GB2312" w:eastAsia="仿宋_GB2312" w:cs="仿宋_GB2312"/>
          <w:sz w:val="30"/>
          <w:szCs w:val="30"/>
          <w:highlight w:val="none"/>
        </w:rPr>
        <w:t>国家级非物质文化遗产之</w:t>
      </w:r>
      <w:r>
        <w:rPr>
          <w:rFonts w:hint="eastAsia" w:ascii="仿宋_GB2312" w:hAnsi="仿宋_GB2312" w:eastAsia="仿宋_GB2312" w:cs="仿宋_GB2312"/>
          <w:sz w:val="30"/>
          <w:szCs w:val="30"/>
          <w:highlight w:val="none"/>
        </w:rPr>
        <w:t xml:space="preserve">一，高度代表我国非遗文化中的 </w:t>
      </w:r>
      <w:r>
        <w:rPr>
          <w:rFonts w:hint="eastAsia" w:ascii="仿宋_GB2312" w:hAnsi="仿宋_GB2312" w:eastAsia="仿宋_GB2312" w:cs="仿宋_GB2312"/>
          <w:b/>
          <w:bCs/>
          <w:sz w:val="30"/>
          <w:szCs w:val="30"/>
          <w:highlight w:val="none"/>
        </w:rPr>
        <w:t>“人工智慧”</w:t>
      </w:r>
      <w:r>
        <w:rPr>
          <w:rFonts w:hint="eastAsia" w:ascii="仿宋_GB2312" w:hAnsi="仿宋_GB2312" w:eastAsia="仿宋_GB2312" w:cs="仿宋_GB2312"/>
          <w:sz w:val="30"/>
          <w:szCs w:val="30"/>
          <w:highlight w:val="none"/>
        </w:rPr>
        <w:t>。</w:t>
      </w:r>
    </w:p>
    <w:p>
      <w:pPr>
        <w:adjustRightInd w:val="0"/>
        <w:snapToGrid w:val="0"/>
        <w:spacing w:line="560" w:lineRule="exact"/>
        <w:ind w:firstLine="569" w:firstLineChars="189"/>
        <w:rPr>
          <w:rFonts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rPr>
        <w:t xml:space="preserve"> “人工智能”</w:t>
      </w:r>
      <w:r>
        <w:rPr>
          <w:rFonts w:hint="eastAsia" w:ascii="仿宋_GB2312" w:hAnsi="仿宋_GB2312" w:eastAsia="仿宋_GB2312" w:cs="仿宋_GB2312"/>
          <w:sz w:val="30"/>
          <w:szCs w:val="30"/>
          <w:highlight w:val="none"/>
        </w:rPr>
        <w:t>通过训练可以学习中国传统绘画，并分析绘画中的故事叙述：人物、城市、山水，通过</w:t>
      </w:r>
      <w:r>
        <w:rPr>
          <w:rFonts w:hint="eastAsia" w:ascii="仿宋_GB2312" w:hAnsi="仿宋_GB2312" w:eastAsia="仿宋_GB2312" w:cs="仿宋_GB2312"/>
          <w:b/>
          <w:bCs/>
          <w:sz w:val="30"/>
          <w:szCs w:val="30"/>
          <w:highlight w:val="none"/>
        </w:rPr>
        <w:t>“解构”</w:t>
      </w:r>
      <w:r>
        <w:rPr>
          <w:rFonts w:hint="eastAsia" w:ascii="仿宋_GB2312" w:hAnsi="仿宋_GB2312" w:eastAsia="仿宋_GB2312" w:cs="仿宋_GB2312"/>
          <w:sz w:val="30"/>
          <w:szCs w:val="30"/>
          <w:highlight w:val="none"/>
        </w:rPr>
        <w:t>故事性要素（比如：在沈周的《两江名胜图册》中描述的江南多城市的景象），运用算力不断创新</w:t>
      </w:r>
      <w:r>
        <w:rPr>
          <w:rFonts w:hint="eastAsia" w:ascii="仿宋_GB2312" w:hAnsi="仿宋_GB2312" w:eastAsia="仿宋_GB2312" w:cs="仿宋_GB2312"/>
          <w:b/>
          <w:bCs/>
          <w:sz w:val="30"/>
          <w:szCs w:val="30"/>
          <w:highlight w:val="none"/>
        </w:rPr>
        <w:t>“重构”</w:t>
      </w:r>
      <w:r>
        <w:rPr>
          <w:rFonts w:hint="eastAsia" w:ascii="仿宋_GB2312" w:hAnsi="仿宋_GB2312" w:eastAsia="仿宋_GB2312" w:cs="仿宋_GB2312"/>
          <w:sz w:val="30"/>
          <w:szCs w:val="30"/>
          <w:highlight w:val="none"/>
        </w:rPr>
        <w:t>，生成作品，包括图像、动画、故事和代码脚本等，构建未来性的故事和叙述逻辑。</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bCs/>
          <w:sz w:val="30"/>
          <w:szCs w:val="30"/>
          <w:highlight w:val="none"/>
        </w:rPr>
        <w:t>学生根据上海朵云轩提供的明代画家沈周的《两江名胜图》木版水印画册及雕版，共十幅描绘长江、淮河两岸的山水景致和名胜古迹，通过人工智能技术“</w:t>
      </w:r>
      <w:r>
        <w:rPr>
          <w:rFonts w:hint="eastAsia" w:ascii="仿宋_GB2312" w:hAnsi="仿宋_GB2312" w:eastAsia="仿宋_GB2312" w:cs="仿宋_GB2312"/>
          <w:b/>
          <w:bCs/>
          <w:sz w:val="30"/>
          <w:szCs w:val="30"/>
          <w:highlight w:val="none"/>
        </w:rPr>
        <w:t>解构</w:t>
      </w:r>
      <w:r>
        <w:rPr>
          <w:rFonts w:hint="eastAsia" w:ascii="仿宋_GB2312" w:hAnsi="仿宋_GB2312" w:eastAsia="仿宋_GB2312" w:cs="仿宋_GB2312"/>
          <w:bCs/>
          <w:sz w:val="30"/>
          <w:szCs w:val="30"/>
          <w:highlight w:val="none"/>
        </w:rPr>
        <w:t>”绘画要素，运用算力不断创新“</w:t>
      </w:r>
      <w:r>
        <w:rPr>
          <w:rFonts w:hint="eastAsia" w:ascii="仿宋_GB2312" w:hAnsi="仿宋_GB2312" w:eastAsia="仿宋_GB2312" w:cs="仿宋_GB2312"/>
          <w:b/>
          <w:bCs/>
          <w:sz w:val="30"/>
          <w:szCs w:val="30"/>
          <w:highlight w:val="none"/>
        </w:rPr>
        <w:t>重构</w:t>
      </w:r>
      <w:r>
        <w:rPr>
          <w:rFonts w:hint="eastAsia" w:ascii="仿宋_GB2312" w:hAnsi="仿宋_GB2312" w:eastAsia="仿宋_GB2312" w:cs="仿宋_GB2312"/>
          <w:bCs/>
          <w:sz w:val="30"/>
          <w:szCs w:val="30"/>
          <w:highlight w:val="none"/>
        </w:rPr>
        <w:t>”。选择长三角地区某一地点，创作符合沈周山水画风格的《两江名胜图》的第十一幅作品。</w:t>
      </w:r>
      <w:r>
        <w:rPr>
          <w:rFonts w:hint="eastAsia" w:ascii="仿宋_GB2312" w:hAnsi="仿宋_GB2312" w:eastAsia="仿宋_GB2312" w:cs="仿宋_GB2312"/>
          <w:sz w:val="30"/>
          <w:szCs w:val="30"/>
          <w:highlight w:val="none"/>
        </w:rPr>
        <w:t>最终以</w:t>
      </w:r>
      <w:r>
        <w:rPr>
          <w:rFonts w:hint="eastAsia" w:ascii="仿宋_GB2312" w:hAnsi="仿宋_GB2312" w:eastAsia="仿宋_GB2312" w:cs="仿宋_GB2312"/>
          <w:b/>
          <w:bCs/>
          <w:sz w:val="30"/>
          <w:szCs w:val="30"/>
          <w:highlight w:val="none"/>
          <w:u w:val="single"/>
        </w:rPr>
        <w:t>图形化作品</w:t>
      </w:r>
      <w:r>
        <w:rPr>
          <w:rFonts w:hint="eastAsia" w:ascii="仿宋_GB2312" w:hAnsi="仿宋_GB2312" w:eastAsia="仿宋_GB2312" w:cs="仿宋_GB2312"/>
          <w:sz w:val="30"/>
          <w:szCs w:val="30"/>
          <w:highlight w:val="none"/>
        </w:rPr>
        <w:t>和一段表述</w:t>
      </w:r>
      <w:r>
        <w:rPr>
          <w:rFonts w:hint="eastAsia" w:ascii="仿宋_GB2312" w:hAnsi="仿宋_GB2312" w:eastAsia="仿宋_GB2312" w:cs="仿宋_GB2312"/>
          <w:b/>
          <w:bCs/>
          <w:sz w:val="30"/>
          <w:szCs w:val="30"/>
          <w:highlight w:val="none"/>
          <w:u w:val="single"/>
        </w:rPr>
        <w:t>作品理念</w:t>
      </w:r>
      <w:r>
        <w:rPr>
          <w:rFonts w:hint="eastAsia" w:ascii="仿宋_GB2312" w:hAnsi="仿宋_GB2312" w:eastAsia="仿宋_GB2312" w:cs="仿宋_GB2312"/>
          <w:sz w:val="30"/>
          <w:szCs w:val="30"/>
          <w:highlight w:val="none"/>
        </w:rPr>
        <w:t>的文字进行表达，呈现创作成果。</w:t>
      </w:r>
    </w:p>
    <w:p>
      <w:pPr>
        <w:adjustRightInd w:val="0"/>
        <w:snapToGrid w:val="0"/>
        <w:spacing w:line="560" w:lineRule="exact"/>
        <w:rPr>
          <w:rFonts w:ascii="仿宋_GB2312" w:hAnsi="仿宋_GB2312" w:eastAsia="仿宋_GB2312" w:cs="仿宋_GB2312"/>
          <w:sz w:val="30"/>
          <w:szCs w:val="30"/>
          <w:highlight w:val="none"/>
        </w:rPr>
      </w:pPr>
    </w:p>
    <w:p>
      <w:pPr>
        <w:adjustRightInd w:val="0"/>
        <w:snapToGrid w:val="0"/>
        <w:spacing w:line="560" w:lineRule="exact"/>
        <w:ind w:firstLine="569" w:firstLineChars="189"/>
        <w:rPr>
          <w:rFonts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2.创作要求</w:t>
      </w:r>
    </w:p>
    <w:p>
      <w:pPr>
        <w:pStyle w:val="19"/>
        <w:widowControl/>
        <w:numPr>
          <w:ilvl w:val="0"/>
          <w:numId w:val="2"/>
        </w:numPr>
        <w:spacing w:line="360" w:lineRule="auto"/>
        <w:ind w:left="607" w:hanging="244"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作品中必须包含</w:t>
      </w:r>
      <w:r>
        <w:rPr>
          <w:rFonts w:hint="eastAsia" w:ascii="仿宋_GB2312" w:hAnsi="仿宋_GB2312" w:eastAsia="仿宋_GB2312" w:cs="仿宋_GB2312"/>
          <w:bCs/>
          <w:sz w:val="30"/>
          <w:szCs w:val="30"/>
          <w:highlight w:val="none"/>
        </w:rPr>
        <w:t>《两江名胜图》的元素，包括但不限于具体绘画要素、绘画风格等。</w:t>
      </w:r>
    </w:p>
    <w:p>
      <w:pPr>
        <w:pStyle w:val="19"/>
        <w:widowControl/>
        <w:numPr>
          <w:ilvl w:val="0"/>
          <w:numId w:val="2"/>
        </w:numPr>
        <w:spacing w:line="360" w:lineRule="auto"/>
        <w:ind w:left="607" w:hanging="244"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作品中必须</w:t>
      </w:r>
      <w:r>
        <w:rPr>
          <w:rFonts w:hint="eastAsia" w:ascii="仿宋_GB2312" w:hAnsi="仿宋_GB2312" w:eastAsia="仿宋_GB2312" w:cs="仿宋_GB2312"/>
          <w:bCs/>
          <w:sz w:val="30"/>
          <w:szCs w:val="30"/>
          <w:highlight w:val="none"/>
        </w:rPr>
        <w:t>体现传统的</w:t>
      </w:r>
      <w:r>
        <w:rPr>
          <w:rFonts w:hint="eastAsia" w:ascii="仿宋_GB2312" w:hAnsi="仿宋_GB2312" w:eastAsia="仿宋_GB2312" w:cs="仿宋_GB2312"/>
          <w:sz w:val="30"/>
          <w:szCs w:val="30"/>
          <w:highlight w:val="none"/>
        </w:rPr>
        <w:t>传承及在AI时代下的发展。</w:t>
      </w:r>
    </w:p>
    <w:p>
      <w:pPr>
        <w:pStyle w:val="19"/>
        <w:widowControl/>
        <w:numPr>
          <w:ilvl w:val="0"/>
          <w:numId w:val="2"/>
        </w:numPr>
        <w:spacing w:line="360" w:lineRule="auto"/>
        <w:ind w:left="607" w:hanging="244"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作品必须使用人工智能技术创作完成。</w:t>
      </w:r>
    </w:p>
    <w:p>
      <w:pPr>
        <w:pStyle w:val="19"/>
        <w:widowControl/>
        <w:spacing w:line="360" w:lineRule="auto"/>
        <w:ind w:firstLine="60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根据所提供</w:t>
      </w:r>
      <w:r>
        <w:rPr>
          <w:rFonts w:hint="eastAsia" w:ascii="仿宋_GB2312" w:hAnsi="仿宋_GB2312" w:eastAsia="仿宋_GB2312" w:cs="仿宋_GB2312"/>
          <w:bCs/>
          <w:sz w:val="30"/>
          <w:szCs w:val="30"/>
          <w:highlight w:val="none"/>
        </w:rPr>
        <w:t>明代画家沈周的</w:t>
      </w:r>
      <w:r>
        <w:rPr>
          <w:rFonts w:hint="eastAsia" w:ascii="仿宋_GB2312" w:hAnsi="仿宋_GB2312" w:eastAsia="仿宋_GB2312" w:cs="仿宋_GB2312"/>
          <w:sz w:val="30"/>
          <w:szCs w:val="30"/>
          <w:highlight w:val="none"/>
        </w:rPr>
        <w:t>《两江名胜图》木版水印画册高清电子画作十幅，以及该画册运用木版水印技艺印刷中所制作的所有分版，选取创作所需</w:t>
      </w:r>
      <w:r>
        <w:rPr>
          <w:rFonts w:ascii="仿宋_GB2312" w:hAnsi="仿宋_GB2312" w:eastAsia="仿宋_GB2312" w:cs="仿宋_GB2312"/>
          <w:sz w:val="30"/>
          <w:szCs w:val="30"/>
          <w:highlight w:val="none"/>
        </w:rPr>
        <w:t>元素</w:t>
      </w:r>
      <w:r>
        <w:rPr>
          <w:rFonts w:hint="eastAsia" w:ascii="仿宋_GB2312" w:hAnsi="仿宋_GB2312" w:eastAsia="仿宋_GB2312" w:cs="仿宋_GB2312"/>
          <w:sz w:val="30"/>
          <w:szCs w:val="30"/>
          <w:highlight w:val="none"/>
        </w:rPr>
        <w:t>。基于长三角地区某一地点，结合自己想表达的内容，将对历史的思考与传承，对过去与现在沧海桑田的感悟，对传统工艺在未来的发展与展望等，在作品中展现出来，</w:t>
      </w:r>
      <w:r>
        <w:rPr>
          <w:rFonts w:hint="eastAsia" w:ascii="仿宋_GB2312" w:hAnsi="仿宋_GB2312" w:eastAsia="仿宋_GB2312" w:cs="仿宋_GB2312"/>
          <w:bCs/>
          <w:sz w:val="30"/>
          <w:szCs w:val="30"/>
          <w:highlight w:val="none"/>
        </w:rPr>
        <w:t>创作出符合沈周山水画风格的《两江名胜图》的第十一幅作品。</w:t>
      </w:r>
    </w:p>
    <w:p>
      <w:pPr>
        <w:pStyle w:val="19"/>
        <w:widowControl/>
        <w:spacing w:line="360" w:lineRule="auto"/>
        <w:ind w:firstLine="60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比如，选择画册中某一地点，借助人工智能开源技术手段，用沈周的风格绘制该地点的现状图，实现由古人“观未来”的效果；</w:t>
      </w:r>
    </w:p>
    <w:p>
      <w:pPr>
        <w:pStyle w:val="19"/>
        <w:widowControl/>
        <w:spacing w:line="360" w:lineRule="auto"/>
        <w:ind w:firstLine="60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比如，运用</w:t>
      </w:r>
      <w:r>
        <w:rPr>
          <w:rFonts w:hint="eastAsia" w:ascii="仿宋_GB2312" w:hAnsi="仿宋_GB2312" w:eastAsia="仿宋_GB2312" w:cs="仿宋_GB2312"/>
          <w:bCs/>
          <w:sz w:val="30"/>
          <w:szCs w:val="30"/>
          <w:highlight w:val="none"/>
        </w:rPr>
        <w:t>人工智能技术“解构”</w:t>
      </w:r>
      <w:r>
        <w:rPr>
          <w:rFonts w:hint="eastAsia" w:ascii="仿宋_GB2312" w:hAnsi="仿宋_GB2312" w:eastAsia="仿宋_GB2312" w:cs="仿宋_GB2312"/>
          <w:sz w:val="30"/>
          <w:szCs w:val="30"/>
          <w:highlight w:val="none"/>
        </w:rPr>
        <w:t>《两江名胜图》</w:t>
      </w:r>
      <w:r>
        <w:rPr>
          <w:rFonts w:hint="eastAsia" w:ascii="仿宋_GB2312" w:hAnsi="仿宋_GB2312" w:eastAsia="仿宋_GB2312" w:cs="仿宋_GB2312"/>
          <w:bCs/>
          <w:sz w:val="30"/>
          <w:szCs w:val="30"/>
          <w:highlight w:val="none"/>
        </w:rPr>
        <w:t>绘画要素后，将各要素创新组合“重构”（如改变“船”这一要素的数量及位置），形成全新画作</w:t>
      </w:r>
      <w:r>
        <w:rPr>
          <w:rFonts w:hint="eastAsia" w:ascii="仿宋_GB2312" w:hAnsi="仿宋_GB2312" w:eastAsia="仿宋_GB2312" w:cs="仿宋_GB2312"/>
          <w:sz w:val="30"/>
          <w:szCs w:val="30"/>
          <w:highlight w:val="none"/>
        </w:rPr>
        <w:t>等。</w:t>
      </w:r>
    </w:p>
    <w:p>
      <w:pPr>
        <w:adjustRightInd w:val="0"/>
        <w:snapToGrid w:val="0"/>
        <w:spacing w:line="560" w:lineRule="exact"/>
        <w:ind w:firstLine="567" w:firstLineChars="189"/>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除了上述列举的，还有很多可以体现“木版水印的AI之旅”这一主题的创作思路……学生可以运用相关的人工智能技术进行更多思考和创新，</w:t>
      </w:r>
      <w:r>
        <w:rPr>
          <w:rFonts w:hint="eastAsia" w:ascii="仿宋_GB2312" w:hAnsi="仿宋_GB2312" w:eastAsia="仿宋_GB2312" w:cs="仿宋_GB2312"/>
          <w:bCs/>
          <w:sz w:val="30"/>
          <w:szCs w:val="30"/>
          <w:highlight w:val="none"/>
        </w:rPr>
        <w:t>并在此过程中</w:t>
      </w:r>
      <w:r>
        <w:rPr>
          <w:rFonts w:hint="eastAsia" w:ascii="仿宋_GB2312" w:hAnsi="仿宋_GB2312" w:eastAsia="仿宋_GB2312" w:cs="仿宋_GB2312"/>
          <w:sz w:val="30"/>
          <w:szCs w:val="30"/>
          <w:highlight w:val="none"/>
        </w:rPr>
        <w:t>更好地理解、发扬、传承我国悠久历史文明和中华民族的长久的“人工智慧”。</w:t>
      </w:r>
    </w:p>
    <w:p>
      <w:pPr>
        <w:adjustRightInd w:val="0"/>
        <w:snapToGrid w:val="0"/>
        <w:spacing w:line="560" w:lineRule="exact"/>
        <w:ind w:firstLine="567" w:firstLineChars="189"/>
        <w:rPr>
          <w:rFonts w:ascii="仿宋_GB2312" w:hAnsi="仿宋_GB2312" w:eastAsia="仿宋_GB2312" w:cs="仿宋_GB2312"/>
          <w:sz w:val="30"/>
          <w:szCs w:val="30"/>
          <w:highlight w:val="none"/>
        </w:rPr>
      </w:pPr>
    </w:p>
    <w:p>
      <w:pPr>
        <w:adjustRightInd w:val="0"/>
        <w:snapToGrid w:val="0"/>
        <w:spacing w:line="560" w:lineRule="exact"/>
        <w:ind w:firstLine="569" w:firstLineChars="189"/>
        <w:rPr>
          <w:rFonts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3.提交资料</w:t>
      </w:r>
    </w:p>
    <w:p>
      <w:pPr>
        <w:pStyle w:val="19"/>
        <w:widowControl/>
        <w:numPr>
          <w:ilvl w:val="0"/>
          <w:numId w:val="3"/>
        </w:numPr>
        <w:spacing w:line="360" w:lineRule="auto"/>
        <w:ind w:left="607" w:hanging="244"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u w:val="single"/>
        </w:rPr>
        <w:t>图形化作品</w:t>
      </w:r>
      <w:r>
        <w:rPr>
          <w:rFonts w:hint="eastAsia" w:ascii="仿宋_GB2312" w:hAnsi="仿宋_GB2312" w:eastAsia="仿宋_GB2312" w:cs="仿宋_GB2312"/>
          <w:sz w:val="30"/>
          <w:szCs w:val="30"/>
          <w:highlight w:val="none"/>
        </w:rPr>
        <w:t>：高清图片或动图（二维或三维风格均可），jpg或gif格式，可以是单张图片或5张以内的系列作品，分辨率为1200*1200dpi以内，单张图片大小控制在50M以内，以“学生姓名-作品名称-图形化作品-序号1-5”命名。</w:t>
      </w:r>
    </w:p>
    <w:p>
      <w:pPr>
        <w:pStyle w:val="19"/>
        <w:widowControl/>
        <w:numPr>
          <w:ilvl w:val="0"/>
          <w:numId w:val="3"/>
        </w:numPr>
        <w:spacing w:line="360" w:lineRule="auto"/>
        <w:ind w:left="607" w:hanging="244" w:firstLineChars="0"/>
        <w:jc w:val="left"/>
        <w:rPr>
          <w:rFonts w:hint="eastAsia"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u w:val="single"/>
        </w:rPr>
        <w:t>作品</w:t>
      </w:r>
      <w:r>
        <w:rPr>
          <w:rFonts w:ascii="仿宋_GB2312" w:hAnsi="仿宋_GB2312" w:eastAsia="仿宋_GB2312" w:cs="仿宋_GB2312"/>
          <w:b/>
          <w:bCs/>
          <w:sz w:val="30"/>
          <w:szCs w:val="30"/>
          <w:highlight w:val="none"/>
          <w:u w:val="single"/>
        </w:rPr>
        <w:t>技术实现路线</w:t>
      </w:r>
      <w:r>
        <w:rPr>
          <w:rFonts w:ascii="仿宋_GB2312" w:hAnsi="仿宋_GB2312" w:eastAsia="仿宋_GB2312" w:cs="仿宋_GB2312"/>
          <w:b/>
          <w:bCs/>
          <w:sz w:val="30"/>
          <w:szCs w:val="30"/>
          <w:highlight w:val="none"/>
        </w:rPr>
        <w:t>：</w:t>
      </w:r>
      <w:r>
        <w:rPr>
          <w:rFonts w:hint="eastAsia" w:ascii="仿宋_GB2312" w:hAnsi="仿宋_GB2312" w:eastAsia="仿宋_GB2312" w:cs="仿宋_GB2312"/>
          <w:sz w:val="30"/>
          <w:szCs w:val="30"/>
          <w:highlight w:val="none"/>
        </w:rPr>
        <w:t>简述使用人工智能技术完成作品的过程（100字以内）。</w:t>
      </w:r>
    </w:p>
    <w:p>
      <w:pPr>
        <w:pStyle w:val="19"/>
        <w:widowControl/>
        <w:numPr>
          <w:ilvl w:val="0"/>
          <w:numId w:val="3"/>
        </w:numPr>
        <w:spacing w:line="360" w:lineRule="auto"/>
        <w:ind w:left="607" w:hanging="244"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u w:val="single"/>
        </w:rPr>
        <w:t>作品理念</w:t>
      </w:r>
      <w:r>
        <w:rPr>
          <w:rFonts w:hint="eastAsia" w:ascii="仿宋_GB2312" w:hAnsi="仿宋_GB2312" w:eastAsia="仿宋_GB2312" w:cs="仿宋_GB2312"/>
          <w:sz w:val="30"/>
          <w:szCs w:val="30"/>
          <w:highlight w:val="none"/>
        </w:rPr>
        <w:t>：需撰写一段文字（200-300字），体裁不限，应体现图形化作品所表达的核心内涵，清晰阐述图形化作品所表达的对过去的所思所想或对过去的传承发展，展示高科技与传统的关联。</w:t>
      </w:r>
    </w:p>
    <w:p>
      <w:pPr>
        <w:pStyle w:val="19"/>
        <w:widowControl/>
        <w:spacing w:line="360" w:lineRule="auto"/>
        <w:ind w:left="607" w:firstLine="0" w:firstLineChars="0"/>
        <w:jc w:val="left"/>
        <w:rPr>
          <w:rFonts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u w:val="single"/>
        </w:rPr>
        <w:t>注：请保存好创作过程文件(包括但不限于原始代码、平台重点操作步骤截图等)以备核验。</w:t>
      </w:r>
    </w:p>
    <w:p>
      <w:pPr>
        <w:pStyle w:val="19"/>
        <w:widowControl/>
        <w:spacing w:line="360" w:lineRule="auto"/>
        <w:ind w:left="607" w:firstLine="0" w:firstLineChars="0"/>
        <w:jc w:val="left"/>
        <w:rPr>
          <w:rFonts w:ascii="仿宋_GB2312" w:hAnsi="仿宋_GB2312" w:eastAsia="仿宋_GB2312" w:cs="仿宋_GB2312"/>
          <w:sz w:val="30"/>
          <w:szCs w:val="30"/>
          <w:highlight w:val="none"/>
        </w:rPr>
      </w:pP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参与方式及安排</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1875"/>
        <w:gridCol w:w="4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91" w:type="dxa"/>
          </w:tcPr>
          <w:p>
            <w:pPr>
              <w:spacing w:line="360" w:lineRule="auto"/>
              <w:jc w:val="center"/>
              <w:rPr>
                <w:rFonts w:ascii="仿宋_GB2312" w:hAnsi="仿宋_GB2312" w:eastAsia="仿宋_GB2312" w:cs="仿宋_GB2312"/>
                <w:b/>
                <w:bCs/>
                <w:kern w:val="0"/>
                <w:sz w:val="20"/>
                <w:szCs w:val="21"/>
                <w:highlight w:val="none"/>
              </w:rPr>
            </w:pPr>
            <w:r>
              <w:rPr>
                <w:rFonts w:hint="eastAsia" w:ascii="仿宋_GB2312" w:hAnsi="仿宋_GB2312" w:eastAsia="仿宋_GB2312" w:cs="仿宋_GB2312"/>
                <w:b/>
                <w:bCs/>
                <w:kern w:val="0"/>
                <w:sz w:val="20"/>
                <w:szCs w:val="21"/>
                <w:highlight w:val="none"/>
              </w:rPr>
              <w:t>时间规划</w:t>
            </w:r>
          </w:p>
        </w:tc>
        <w:tc>
          <w:tcPr>
            <w:tcW w:w="1875" w:type="dxa"/>
          </w:tcPr>
          <w:p>
            <w:pPr>
              <w:spacing w:line="360" w:lineRule="auto"/>
              <w:jc w:val="center"/>
              <w:rPr>
                <w:rFonts w:ascii="仿宋_GB2312" w:hAnsi="仿宋_GB2312" w:eastAsia="仿宋_GB2312" w:cs="仿宋_GB2312"/>
                <w:b/>
                <w:bCs/>
                <w:kern w:val="0"/>
                <w:sz w:val="20"/>
                <w:szCs w:val="21"/>
                <w:highlight w:val="none"/>
              </w:rPr>
            </w:pPr>
            <w:r>
              <w:rPr>
                <w:rFonts w:hint="eastAsia" w:ascii="仿宋_GB2312" w:hAnsi="仿宋_GB2312" w:eastAsia="仿宋_GB2312" w:cs="仿宋_GB2312"/>
                <w:b/>
                <w:bCs/>
                <w:kern w:val="0"/>
                <w:sz w:val="20"/>
                <w:szCs w:val="21"/>
                <w:highlight w:val="none"/>
              </w:rPr>
              <w:t>环节</w:t>
            </w:r>
          </w:p>
        </w:tc>
        <w:tc>
          <w:tcPr>
            <w:tcW w:w="4356" w:type="dxa"/>
          </w:tcPr>
          <w:p>
            <w:pPr>
              <w:spacing w:line="360" w:lineRule="auto"/>
              <w:jc w:val="center"/>
              <w:rPr>
                <w:rFonts w:ascii="仿宋_GB2312" w:hAnsi="仿宋_GB2312" w:eastAsia="仿宋_GB2312" w:cs="仿宋_GB2312"/>
                <w:b/>
                <w:bCs/>
                <w:kern w:val="0"/>
                <w:sz w:val="20"/>
                <w:szCs w:val="21"/>
                <w:highlight w:val="none"/>
              </w:rPr>
            </w:pPr>
            <w:r>
              <w:rPr>
                <w:rFonts w:hint="eastAsia" w:ascii="仿宋_GB2312" w:hAnsi="仿宋_GB2312" w:eastAsia="仿宋_GB2312" w:cs="仿宋_GB2312"/>
                <w:b/>
                <w:bCs/>
                <w:kern w:val="0"/>
                <w:sz w:val="20"/>
                <w:szCs w:val="21"/>
                <w:highlight w:val="none"/>
              </w:rPr>
              <w:t>执行内容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2023年6月-8月</w:t>
            </w:r>
          </w:p>
        </w:tc>
        <w:tc>
          <w:tcPr>
            <w:tcW w:w="1875"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学生自主学习</w:t>
            </w:r>
          </w:p>
        </w:tc>
        <w:tc>
          <w:tcPr>
            <w:tcW w:w="4356"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参赛学生登录活动板块页面，根据项目介绍、木版水印工艺介绍、开源平台培训等学习资源自主学习。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2023年9月-10月8</w:t>
            </w:r>
            <w:r>
              <w:rPr>
                <w:rFonts w:ascii="仿宋_GB2312" w:hAnsi="仿宋_GB2312" w:eastAsia="仿宋_GB2312" w:cs="仿宋_GB2312"/>
                <w:kern w:val="0"/>
                <w:sz w:val="24"/>
                <w:szCs w:val="24"/>
                <w:highlight w:val="none"/>
              </w:rPr>
              <w:t>日1</w:t>
            </w:r>
            <w:r>
              <w:rPr>
                <w:rFonts w:hint="eastAsia" w:ascii="仿宋_GB2312" w:hAnsi="仿宋_GB2312" w:eastAsia="仿宋_GB2312" w:cs="仿宋_GB2312"/>
                <w:kern w:val="0"/>
                <w:sz w:val="24"/>
                <w:szCs w:val="24"/>
                <w:highlight w:val="none"/>
              </w:rPr>
              <w:t>2</w:t>
            </w:r>
            <w:r>
              <w:rPr>
                <w:rFonts w:ascii="仿宋_GB2312" w:hAnsi="仿宋_GB2312" w:eastAsia="仿宋_GB2312" w:cs="仿宋_GB2312"/>
                <w:kern w:val="0"/>
                <w:sz w:val="24"/>
                <w:szCs w:val="24"/>
                <w:highlight w:val="none"/>
              </w:rPr>
              <w:t>:00</w:t>
            </w:r>
            <w:r>
              <w:rPr>
                <w:rFonts w:hint="eastAsia" w:ascii="仿宋_GB2312" w:hAnsi="仿宋_GB2312" w:eastAsia="仿宋_GB2312" w:cs="仿宋_GB2312"/>
                <w:kern w:val="0"/>
                <w:sz w:val="24"/>
                <w:szCs w:val="24"/>
                <w:highlight w:val="none"/>
              </w:rPr>
              <w:t>（详见活动页面）</w:t>
            </w:r>
          </w:p>
        </w:tc>
        <w:tc>
          <w:tcPr>
            <w:tcW w:w="1875"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线上提交作品</w:t>
            </w:r>
          </w:p>
        </w:tc>
        <w:tc>
          <w:tcPr>
            <w:tcW w:w="4356" w:type="dxa"/>
          </w:tcPr>
          <w:p>
            <w:pPr>
              <w:widowControl/>
              <w:spacing w:line="360" w:lineRule="auto"/>
              <w:jc w:val="left"/>
              <w:rPr>
                <w:rFonts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4"/>
                <w:highlight w:val="none"/>
              </w:rPr>
              <w:t>本项目为个人形式参与，微信小程序上传作品。</w:t>
            </w:r>
          </w:p>
          <w:p>
            <w:pPr>
              <w:widowControl/>
              <w:spacing w:line="360" w:lineRule="auto"/>
              <w:jc w:val="left"/>
              <w:rPr>
                <w:rFonts w:ascii="仿宋_GB2312" w:hAnsi="仿宋_GB2312" w:eastAsia="仿宋_GB2312" w:cs="仿宋_GB2312"/>
                <w:kern w:val="0"/>
                <w:sz w:val="24"/>
                <w:szCs w:val="20"/>
                <w:highlight w:val="none"/>
              </w:rPr>
            </w:pPr>
            <w:r>
              <w:rPr>
                <w:rFonts w:ascii="Times New Roman" w:hAnsi="Times New Roman" w:eastAsia="宋体" w:cs="Times New Roman"/>
                <w:kern w:val="0"/>
                <w:sz w:val="20"/>
                <w:szCs w:val="20"/>
                <w:highlight w:val="none"/>
              </w:rPr>
              <w:drawing>
                <wp:inline distT="0" distB="0" distL="0" distR="0">
                  <wp:extent cx="2628900" cy="2628900"/>
                  <wp:effectExtent l="0" t="0" r="0" b="0"/>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4" cstate="print"/>
                          <a:srcRect/>
                          <a:stretch>
                            <a:fillRect/>
                          </a:stretch>
                        </pic:blipFill>
                        <pic:spPr>
                          <a:xfrm>
                            <a:off x="0" y="0"/>
                            <a:ext cx="2628900" cy="2628900"/>
                          </a:xfrm>
                          <a:prstGeom prst="rect">
                            <a:avLst/>
                          </a:prstGeom>
                        </pic:spPr>
                      </pic:pic>
                    </a:graphicData>
                  </a:graphic>
                </wp:inline>
              </w:drawing>
            </w:r>
          </w:p>
        </w:tc>
      </w:tr>
    </w:tbl>
    <w:p>
      <w:pPr>
        <w:widowControl/>
        <w:spacing w:line="360" w:lineRule="auto"/>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上述活动安排如有变动，将另行公告。</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奖项设置</w:t>
      </w:r>
    </w:p>
    <w:p>
      <w:pPr>
        <w:pStyle w:val="20"/>
        <w:numPr>
          <w:ilvl w:val="0"/>
          <w:numId w:val="4"/>
        </w:numPr>
        <w:spacing w:line="360" w:lineRule="auto"/>
        <w:rPr>
          <w:rFonts w:hAnsi="仿宋_GB2312"/>
          <w:color w:val="auto"/>
          <w:kern w:val="2"/>
          <w:sz w:val="30"/>
          <w:szCs w:val="30"/>
          <w:highlight w:val="none"/>
        </w:rPr>
      </w:pPr>
      <w:r>
        <w:rPr>
          <w:rFonts w:hint="eastAsia" w:hAnsi="仿宋_GB2312"/>
          <w:color w:val="auto"/>
          <w:kern w:val="2"/>
          <w:sz w:val="30"/>
          <w:szCs w:val="30"/>
          <w:highlight w:val="none"/>
        </w:rPr>
        <w:t>符合要求的作品，在活动结束后可获得电子纪念证书，请关注报名小程序。</w:t>
      </w:r>
    </w:p>
    <w:p>
      <w:pPr>
        <w:pStyle w:val="20"/>
        <w:numPr>
          <w:ilvl w:val="0"/>
          <w:numId w:val="4"/>
        </w:numPr>
        <w:spacing w:line="360" w:lineRule="auto"/>
        <w:rPr>
          <w:rFonts w:hAnsi="仿宋_GB2312"/>
          <w:color w:val="auto"/>
          <w:kern w:val="2"/>
          <w:sz w:val="30"/>
          <w:szCs w:val="30"/>
          <w:highlight w:val="none"/>
        </w:rPr>
      </w:pPr>
      <w:r>
        <w:rPr>
          <w:rFonts w:hint="eastAsia" w:hAnsi="仿宋_GB2312"/>
          <w:color w:val="auto"/>
          <w:kern w:val="2"/>
          <w:sz w:val="30"/>
          <w:szCs w:val="30"/>
          <w:highlight w:val="none"/>
        </w:rPr>
        <w:t>遴选出的“优秀作品”将进行展示。</w:t>
      </w:r>
    </w:p>
    <w:p>
      <w:pPr>
        <w:pStyle w:val="20"/>
        <w:spacing w:line="360" w:lineRule="auto"/>
        <w:ind w:firstLine="602" w:firstLineChars="200"/>
        <w:rPr>
          <w:rFonts w:hAnsi="仿宋_GB2312"/>
          <w:color w:val="auto"/>
          <w:kern w:val="2"/>
          <w:sz w:val="30"/>
          <w:szCs w:val="30"/>
          <w:highlight w:val="none"/>
        </w:rPr>
      </w:pPr>
      <w:r>
        <w:rPr>
          <w:rFonts w:hint="eastAsia" w:hAnsi="仿宋_GB2312"/>
          <w:b/>
          <w:color w:val="auto"/>
          <w:kern w:val="2"/>
          <w:sz w:val="30"/>
          <w:szCs w:val="30"/>
          <w:highlight w:val="none"/>
        </w:rPr>
        <w:t>优秀作品遴选标准：</w:t>
      </w:r>
      <w:r>
        <w:rPr>
          <w:rFonts w:hint="eastAsia" w:hAnsi="仿宋_GB2312"/>
          <w:color w:val="auto"/>
          <w:kern w:val="2"/>
          <w:sz w:val="30"/>
          <w:szCs w:val="30"/>
          <w:highlight w:val="none"/>
        </w:rPr>
        <w:t>作品紧扣长三角发展这一主题，巧妙融合</w:t>
      </w:r>
      <w:r>
        <w:rPr>
          <w:rFonts w:hint="eastAsia" w:hAnsi="仿宋_GB2312"/>
          <w:bCs/>
          <w:sz w:val="30"/>
          <w:szCs w:val="30"/>
          <w:highlight w:val="none"/>
        </w:rPr>
        <w:t>《两江名胜图》</w:t>
      </w:r>
      <w:r>
        <w:rPr>
          <w:rFonts w:hint="eastAsia" w:hAnsi="仿宋_GB2312"/>
          <w:sz w:val="30"/>
          <w:szCs w:val="30"/>
          <w:highlight w:val="none"/>
        </w:rPr>
        <w:t>木版水印</w:t>
      </w:r>
      <w:r>
        <w:rPr>
          <w:rFonts w:hint="eastAsia" w:hAnsi="仿宋_GB2312"/>
          <w:bCs/>
          <w:sz w:val="30"/>
          <w:szCs w:val="30"/>
          <w:highlight w:val="none"/>
        </w:rPr>
        <w:t>元素，</w:t>
      </w:r>
      <w:r>
        <w:rPr>
          <w:rFonts w:hint="eastAsia" w:hAnsi="仿宋_GB2312"/>
          <w:color w:val="auto"/>
          <w:kern w:val="2"/>
          <w:sz w:val="30"/>
          <w:szCs w:val="30"/>
          <w:highlight w:val="none"/>
        </w:rPr>
        <w:t>内容积极、健康向上；具有创新性，且人工智能及编程技术手段恰当，体现出技术亮点；有较高的审美情趣，思想内涵有深度。</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支持单位</w:t>
      </w:r>
    </w:p>
    <w:p>
      <w:pPr>
        <w:pStyle w:val="19"/>
        <w:spacing w:line="300" w:lineRule="auto"/>
        <w:ind w:left="640" w:firstLine="0" w:firstLineChars="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上海朵云轩集团有限公司</w:t>
      </w:r>
    </w:p>
    <w:p>
      <w:pPr>
        <w:pStyle w:val="19"/>
        <w:spacing w:line="300" w:lineRule="auto"/>
        <w:ind w:left="640" w:firstLine="0" w:firstLineChars="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百度（中国）有限公司</w:t>
      </w:r>
    </w:p>
    <w:p>
      <w:pPr>
        <w:pStyle w:val="19"/>
        <w:spacing w:line="300" w:lineRule="auto"/>
        <w:ind w:left="640" w:firstLine="0" w:firstLineChars="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同济大学创意学院</w:t>
      </w:r>
    </w:p>
    <w:p>
      <w:pPr>
        <w:pStyle w:val="19"/>
        <w:spacing w:line="300" w:lineRule="auto"/>
        <w:ind w:left="640" w:firstLine="0" w:firstLineChars="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上海</w:t>
      </w:r>
      <w:r>
        <w:rPr>
          <w:rFonts w:ascii="仿宋_GB2312" w:hAnsi="仿宋_GB2312" w:eastAsia="仿宋_GB2312" w:cs="仿宋_GB2312"/>
          <w:sz w:val="30"/>
          <w:szCs w:val="30"/>
          <w:highlight w:val="none"/>
        </w:rPr>
        <w:t>交通大学</w:t>
      </w:r>
      <w:r>
        <w:rPr>
          <w:rFonts w:hint="eastAsia" w:ascii="仿宋_GB2312" w:hAnsi="仿宋_GB2312" w:eastAsia="仿宋_GB2312" w:cs="仿宋_GB2312"/>
          <w:sz w:val="30"/>
          <w:szCs w:val="30"/>
          <w:highlight w:val="none"/>
        </w:rPr>
        <w:t>设计学院</w:t>
      </w:r>
    </w:p>
    <w:p>
      <w:pPr>
        <w:pStyle w:val="19"/>
        <w:numPr>
          <w:ilvl w:val="0"/>
          <w:numId w:val="1"/>
        </w:numPr>
        <w:spacing w:line="300" w:lineRule="auto"/>
        <w:ind w:left="0" w:firstLine="640" w:firstLineChars="0"/>
        <w:rPr>
          <w:rFonts w:ascii="黑体" w:hAnsi="黑体" w:eastAsia="黑体" w:cs="黑体"/>
          <w:sz w:val="30"/>
          <w:szCs w:val="30"/>
          <w:highlight w:val="none"/>
        </w:rPr>
      </w:pPr>
      <w:r>
        <w:rPr>
          <w:rFonts w:hint="eastAsia" w:ascii="黑体" w:hAnsi="黑体" w:eastAsia="黑体" w:cs="黑体"/>
          <w:sz w:val="30"/>
          <w:szCs w:val="30"/>
          <w:highlight w:val="none"/>
        </w:rPr>
        <w:t>联系方式</w:t>
      </w:r>
    </w:p>
    <w:p>
      <w:pPr>
        <w:widowControl/>
        <w:spacing w:line="360" w:lineRule="auto"/>
        <w:ind w:firstLine="600" w:firstLineChars="20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上海市科技艺术教育中心 科技教育部 （中山西路1247号2号楼304室）</w:t>
      </w:r>
    </w:p>
    <w:p>
      <w:pPr>
        <w:widowControl/>
        <w:spacing w:line="360" w:lineRule="auto"/>
        <w:ind w:firstLine="600" w:firstLineChars="200"/>
        <w:jc w:val="left"/>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联系电话：钱老师021-64372665</w:t>
      </w:r>
      <w:bookmarkStart w:id="1" w:name="_GoBack"/>
      <w:bookmarkEnd w:id="1"/>
      <w:r>
        <w:rPr>
          <w:rFonts w:hint="eastAsia" w:ascii="仿宋_GB2312" w:hAnsi="仿宋_GB2312" w:eastAsia="仿宋_GB2312" w:cs="仿宋_GB2312"/>
          <w:sz w:val="30"/>
          <w:szCs w:val="30"/>
          <w:highlight w:val="none"/>
        </w:rPr>
        <w:t>王老师021-64378913</w:t>
      </w:r>
      <w:r>
        <w:rPr>
          <w:rFonts w:ascii="仿宋_GB2312" w:hAnsi="仿宋_GB2312" w:eastAsia="仿宋_GB2312" w:cs="仿宋_GB2312"/>
          <w:sz w:val="30"/>
          <w:szCs w:val="30"/>
          <w:highlight w:val="none"/>
        </w:rPr>
        <w:t xml:space="preserve"> </w:t>
      </w:r>
    </w:p>
    <w:p>
      <w:pPr>
        <w:widowControl/>
        <w:spacing w:line="360" w:lineRule="auto"/>
        <w:ind w:firstLine="600" w:firstLineChars="200"/>
        <w:jc w:val="left"/>
        <w:rPr>
          <w:rFonts w:ascii="仿宋_GB2312" w:hAnsi="仿宋_GB2312" w:eastAsia="仿宋_GB2312" w:cs="仿宋_GB2312"/>
          <w:sz w:val="28"/>
          <w:szCs w:val="30"/>
          <w:highlight w:val="none"/>
        </w:rPr>
      </w:pPr>
      <w:r>
        <w:rPr>
          <w:rFonts w:hint="eastAsia" w:ascii="仿宋_GB2312" w:hAnsi="仿宋_GB2312" w:eastAsia="仿宋_GB2312" w:cs="仿宋_GB2312"/>
          <w:sz w:val="30"/>
          <w:szCs w:val="30"/>
          <w:highlight w:val="none"/>
        </w:rPr>
        <w:t>技术支持邮箱：</w:t>
      </w:r>
      <w:bookmarkStart w:id="0" w:name="_Hlk107226663"/>
      <w:r>
        <w:rPr>
          <w:rFonts w:hint="eastAsia" w:ascii="仿宋_GB2312" w:hAnsi="仿宋_GB2312" w:eastAsia="仿宋_GB2312" w:cs="仿宋_GB2312"/>
          <w:szCs w:val="24"/>
          <w:highlight w:val="none"/>
        </w:rPr>
        <w:fldChar w:fldCharType="begin"/>
      </w:r>
      <w:r>
        <w:rPr>
          <w:rFonts w:hint="eastAsia" w:ascii="仿宋_GB2312" w:hAnsi="仿宋_GB2312" w:eastAsia="仿宋_GB2312" w:cs="仿宋_GB2312"/>
          <w:highlight w:val="none"/>
        </w:rPr>
        <w:instrText xml:space="preserve">HYPERLINK "mailto:AIandART@126.com"</w:instrText>
      </w:r>
      <w:r>
        <w:rPr>
          <w:rFonts w:hint="eastAsia" w:ascii="仿宋_GB2312" w:hAnsi="仿宋_GB2312" w:eastAsia="仿宋_GB2312" w:cs="仿宋_GB2312"/>
          <w:szCs w:val="24"/>
          <w:highlight w:val="none"/>
        </w:rPr>
        <w:fldChar w:fldCharType="separate"/>
      </w:r>
      <w:r>
        <w:rPr>
          <w:rFonts w:hint="eastAsia" w:ascii="仿宋_GB2312" w:hAnsi="仿宋_GB2312" w:eastAsia="仿宋_GB2312" w:cs="仿宋_GB2312"/>
          <w:sz w:val="30"/>
          <w:szCs w:val="30"/>
          <w:highlight w:val="none"/>
        </w:rPr>
        <w:t>AIandART@126.com</w:t>
      </w:r>
      <w:r>
        <w:rPr>
          <w:rFonts w:hint="eastAsia" w:ascii="仿宋_GB2312" w:hAnsi="仿宋_GB2312" w:eastAsia="仿宋_GB2312" w:cs="仿宋_GB2312"/>
          <w:sz w:val="30"/>
          <w:szCs w:val="30"/>
          <w:highlight w:val="none"/>
        </w:rPr>
        <w:fldChar w:fldCharType="end"/>
      </w:r>
      <w:bookmarkEnd w:id="0"/>
    </w:p>
    <w:p>
      <w:pPr>
        <w:widowControl/>
        <w:spacing w:line="360" w:lineRule="auto"/>
        <w:ind w:firstLine="600" w:firstLineChars="200"/>
        <w:jc w:val="left"/>
        <w:rPr>
          <w:rFonts w:ascii="仿宋_GB2312" w:hAnsi="仿宋_GB2312" w:eastAsia="仿宋_GB2312" w:cs="仿宋_GB2312"/>
          <w:sz w:val="30"/>
          <w:szCs w:val="30"/>
          <w:highlight w:val="none"/>
        </w:rPr>
      </w:pPr>
    </w:p>
    <w:p>
      <w:pPr>
        <w:adjustRightInd w:val="0"/>
        <w:snapToGrid w:val="0"/>
        <w:spacing w:line="560" w:lineRule="exact"/>
        <w:ind w:firstLine="510" w:firstLineChars="189"/>
        <w:rPr>
          <w:rFonts w:ascii="Arial" w:hAnsi="Arial" w:cs="Arial"/>
          <w:color w:val="222222"/>
          <w:sz w:val="27"/>
          <w:szCs w:val="27"/>
          <w:highlight w:val="none"/>
          <w:shd w:val="clear" w:color="auto" w:fill="FFFFFF"/>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980" w:hanging="420"/>
      </w:pPr>
      <w:rPr>
        <w:rFonts w:hint="default" w:cs="楷体"/>
        <w:color w:val="auto"/>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0000002"/>
    <w:multiLevelType w:val="singleLevel"/>
    <w:tmpl w:val="00000002"/>
    <w:lvl w:ilvl="0" w:tentative="0">
      <w:start w:val="1"/>
      <w:numFmt w:val="decimal"/>
      <w:lvlText w:val="%1)"/>
      <w:lvlJc w:val="left"/>
      <w:pPr>
        <w:ind w:left="4252" w:hanging="425"/>
      </w:pPr>
      <w:rPr>
        <w:rFonts w:hint="default"/>
      </w:rPr>
    </w:lvl>
  </w:abstractNum>
  <w:abstractNum w:abstractNumId="2">
    <w:nsid w:val="00000003"/>
    <w:multiLevelType w:val="multilevel"/>
    <w:tmpl w:val="0000000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9FC3721"/>
    <w:multiLevelType w:val="singleLevel"/>
    <w:tmpl w:val="39FC3721"/>
    <w:lvl w:ilvl="0" w:tentative="0">
      <w:start w:val="1"/>
      <w:numFmt w:val="decimal"/>
      <w:lvlText w:val="%1)"/>
      <w:lvlJc w:val="left"/>
      <w:pPr>
        <w:ind w:left="4252" w:hanging="425"/>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hN2EyODk5NWNhN2FhYWRiYWNjMzM2ZjBjZDk4MTEifQ=="/>
  </w:docVars>
  <w:rsids>
    <w:rsidRoot w:val="00604AEC"/>
    <w:rsid w:val="00010F0A"/>
    <w:rsid w:val="00031693"/>
    <w:rsid w:val="0004402B"/>
    <w:rsid w:val="00044596"/>
    <w:rsid w:val="00053B90"/>
    <w:rsid w:val="00062F07"/>
    <w:rsid w:val="00080A51"/>
    <w:rsid w:val="000839CC"/>
    <w:rsid w:val="000D1295"/>
    <w:rsid w:val="000D375C"/>
    <w:rsid w:val="000E7855"/>
    <w:rsid w:val="00105193"/>
    <w:rsid w:val="00115AF2"/>
    <w:rsid w:val="00115F82"/>
    <w:rsid w:val="0012164B"/>
    <w:rsid w:val="0013305D"/>
    <w:rsid w:val="00141CD6"/>
    <w:rsid w:val="0014554D"/>
    <w:rsid w:val="00182724"/>
    <w:rsid w:val="00185994"/>
    <w:rsid w:val="001A1BFE"/>
    <w:rsid w:val="001A4D9B"/>
    <w:rsid w:val="001C0892"/>
    <w:rsid w:val="001C17DB"/>
    <w:rsid w:val="001C4732"/>
    <w:rsid w:val="001D0E26"/>
    <w:rsid w:val="001D5E9E"/>
    <w:rsid w:val="001F1809"/>
    <w:rsid w:val="00205626"/>
    <w:rsid w:val="002072BA"/>
    <w:rsid w:val="00213219"/>
    <w:rsid w:val="002174E9"/>
    <w:rsid w:val="00230D3E"/>
    <w:rsid w:val="00264589"/>
    <w:rsid w:val="002652ED"/>
    <w:rsid w:val="00267B4A"/>
    <w:rsid w:val="00280748"/>
    <w:rsid w:val="002C4A6E"/>
    <w:rsid w:val="00307748"/>
    <w:rsid w:val="00365077"/>
    <w:rsid w:val="003A2266"/>
    <w:rsid w:val="003A6D4E"/>
    <w:rsid w:val="003B5D10"/>
    <w:rsid w:val="003D0546"/>
    <w:rsid w:val="003D53A1"/>
    <w:rsid w:val="003E2FED"/>
    <w:rsid w:val="00407DF1"/>
    <w:rsid w:val="004312ED"/>
    <w:rsid w:val="00441532"/>
    <w:rsid w:val="004520D0"/>
    <w:rsid w:val="004637BF"/>
    <w:rsid w:val="00493077"/>
    <w:rsid w:val="004C1F4A"/>
    <w:rsid w:val="004E2213"/>
    <w:rsid w:val="004F25DA"/>
    <w:rsid w:val="0050133F"/>
    <w:rsid w:val="00513CFB"/>
    <w:rsid w:val="00531987"/>
    <w:rsid w:val="0053614A"/>
    <w:rsid w:val="0053668E"/>
    <w:rsid w:val="005377C1"/>
    <w:rsid w:val="005403CC"/>
    <w:rsid w:val="005A48F7"/>
    <w:rsid w:val="005B7604"/>
    <w:rsid w:val="005C3869"/>
    <w:rsid w:val="005C4536"/>
    <w:rsid w:val="005D3E90"/>
    <w:rsid w:val="005F2A03"/>
    <w:rsid w:val="00604AEC"/>
    <w:rsid w:val="00635A5F"/>
    <w:rsid w:val="00644ADE"/>
    <w:rsid w:val="00675257"/>
    <w:rsid w:val="00682A64"/>
    <w:rsid w:val="00697946"/>
    <w:rsid w:val="006A0671"/>
    <w:rsid w:val="006A658E"/>
    <w:rsid w:val="006D09B5"/>
    <w:rsid w:val="00716836"/>
    <w:rsid w:val="00723979"/>
    <w:rsid w:val="007568C9"/>
    <w:rsid w:val="0075774F"/>
    <w:rsid w:val="00763543"/>
    <w:rsid w:val="0077491A"/>
    <w:rsid w:val="00782667"/>
    <w:rsid w:val="00793691"/>
    <w:rsid w:val="007974BB"/>
    <w:rsid w:val="007A2FA2"/>
    <w:rsid w:val="007B5024"/>
    <w:rsid w:val="007B7671"/>
    <w:rsid w:val="007D5B1F"/>
    <w:rsid w:val="008002CE"/>
    <w:rsid w:val="00822136"/>
    <w:rsid w:val="00852D08"/>
    <w:rsid w:val="0088509D"/>
    <w:rsid w:val="0089310B"/>
    <w:rsid w:val="008E47D3"/>
    <w:rsid w:val="0094459A"/>
    <w:rsid w:val="00947398"/>
    <w:rsid w:val="00950BD3"/>
    <w:rsid w:val="009E290A"/>
    <w:rsid w:val="009E75B4"/>
    <w:rsid w:val="009F090E"/>
    <w:rsid w:val="00A06D39"/>
    <w:rsid w:val="00A31820"/>
    <w:rsid w:val="00A41DE8"/>
    <w:rsid w:val="00A62341"/>
    <w:rsid w:val="00A71428"/>
    <w:rsid w:val="00A71651"/>
    <w:rsid w:val="00AA2212"/>
    <w:rsid w:val="00AC1A37"/>
    <w:rsid w:val="00AC1F3D"/>
    <w:rsid w:val="00AF2112"/>
    <w:rsid w:val="00AF6E75"/>
    <w:rsid w:val="00B27A65"/>
    <w:rsid w:val="00B34C59"/>
    <w:rsid w:val="00B3567E"/>
    <w:rsid w:val="00B35ADA"/>
    <w:rsid w:val="00B67DA5"/>
    <w:rsid w:val="00B72400"/>
    <w:rsid w:val="00B82835"/>
    <w:rsid w:val="00B906B3"/>
    <w:rsid w:val="00BB6537"/>
    <w:rsid w:val="00BC7B1E"/>
    <w:rsid w:val="00BF4325"/>
    <w:rsid w:val="00BF43C3"/>
    <w:rsid w:val="00C00483"/>
    <w:rsid w:val="00C230D3"/>
    <w:rsid w:val="00C60B3A"/>
    <w:rsid w:val="00C7654B"/>
    <w:rsid w:val="00C8641D"/>
    <w:rsid w:val="00CA4418"/>
    <w:rsid w:val="00CE1158"/>
    <w:rsid w:val="00D16F5A"/>
    <w:rsid w:val="00D848A1"/>
    <w:rsid w:val="00D9108E"/>
    <w:rsid w:val="00D965AB"/>
    <w:rsid w:val="00DA4DC0"/>
    <w:rsid w:val="00DA5DFE"/>
    <w:rsid w:val="00DC01B0"/>
    <w:rsid w:val="00DC5D9A"/>
    <w:rsid w:val="00DE680F"/>
    <w:rsid w:val="00E0153B"/>
    <w:rsid w:val="00E075BB"/>
    <w:rsid w:val="00E1429F"/>
    <w:rsid w:val="00E40E41"/>
    <w:rsid w:val="00E6574C"/>
    <w:rsid w:val="00E70708"/>
    <w:rsid w:val="00E9610F"/>
    <w:rsid w:val="00EA2ED5"/>
    <w:rsid w:val="00ED1A3D"/>
    <w:rsid w:val="00ED508D"/>
    <w:rsid w:val="00EE39EB"/>
    <w:rsid w:val="00F149A6"/>
    <w:rsid w:val="00F22A2E"/>
    <w:rsid w:val="00F44FA4"/>
    <w:rsid w:val="00F547EE"/>
    <w:rsid w:val="00F702F7"/>
    <w:rsid w:val="00F75886"/>
    <w:rsid w:val="00F779BC"/>
    <w:rsid w:val="00F94A5D"/>
    <w:rsid w:val="00F95B53"/>
    <w:rsid w:val="00FA4608"/>
    <w:rsid w:val="00FB3108"/>
    <w:rsid w:val="00FC2DD1"/>
    <w:rsid w:val="00FD1864"/>
    <w:rsid w:val="00FF2BF6"/>
    <w:rsid w:val="00FF7522"/>
    <w:rsid w:val="61F0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3"/>
    <w:semiHidden/>
    <w:unhideWhenUsed/>
    <w:uiPriority w:val="99"/>
    <w:pPr>
      <w:jc w:val="left"/>
    </w:pPr>
  </w:style>
  <w:style w:type="paragraph" w:styleId="3">
    <w:name w:val="Balloon Text"/>
    <w:basedOn w:val="1"/>
    <w:link w:val="21"/>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24"/>
    <w:semiHidden/>
    <w:unhideWhenUsed/>
    <w:uiPriority w:val="99"/>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unhideWhenUsed/>
    <w:qFormat/>
    <w:uiPriority w:val="99"/>
    <w:rPr>
      <w:color w:val="0000FF"/>
      <w:u w:val="single"/>
    </w:rPr>
  </w:style>
  <w:style w:type="character" w:styleId="13">
    <w:name w:val="annotation reference"/>
    <w:basedOn w:val="10"/>
    <w:semiHidden/>
    <w:unhideWhenUsed/>
    <w:qFormat/>
    <w:uiPriority w:val="99"/>
    <w:rPr>
      <w:sz w:val="21"/>
      <w:szCs w:val="21"/>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character" w:customStyle="1" w:styleId="16">
    <w:name w:val="bjh-strong"/>
    <w:basedOn w:val="10"/>
    <w:qFormat/>
    <w:uiPriority w:val="0"/>
  </w:style>
  <w:style w:type="character" w:customStyle="1" w:styleId="17">
    <w:name w:val="bjh-p"/>
    <w:basedOn w:val="10"/>
    <w:qFormat/>
    <w:uiPriority w:val="0"/>
  </w:style>
  <w:style w:type="character" w:customStyle="1" w:styleId="18">
    <w:name w:val="min-title"/>
    <w:basedOn w:val="10"/>
    <w:qFormat/>
    <w:uiPriority w:val="0"/>
  </w:style>
  <w:style w:type="paragraph" w:customStyle="1" w:styleId="19">
    <w:name w:val="列出段落1"/>
    <w:basedOn w:val="1"/>
    <w:qFormat/>
    <w:uiPriority w:val="99"/>
    <w:pPr>
      <w:ind w:firstLine="420" w:firstLineChars="200"/>
    </w:pPr>
    <w:rPr>
      <w:rFonts w:ascii="Calibri" w:hAnsi="Calibri" w:eastAsia="宋体" w:cs="宋体"/>
      <w:szCs w:val="24"/>
    </w:rPr>
  </w:style>
  <w:style w:type="paragraph" w:customStyle="1" w:styleId="20">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1">
    <w:name w:val="批注框文本 Char"/>
    <w:basedOn w:val="10"/>
    <w:link w:val="3"/>
    <w:semiHidden/>
    <w:qFormat/>
    <w:uiPriority w:val="99"/>
    <w:rPr>
      <w:sz w:val="18"/>
      <w:szCs w:val="18"/>
    </w:rPr>
  </w:style>
  <w:style w:type="character" w:customStyle="1" w:styleId="22">
    <w:name w:val="apple-converted-space"/>
    <w:basedOn w:val="10"/>
    <w:uiPriority w:val="0"/>
  </w:style>
  <w:style w:type="character" w:customStyle="1" w:styleId="23">
    <w:name w:val="批注文字 Char"/>
    <w:basedOn w:val="10"/>
    <w:link w:val="2"/>
    <w:semiHidden/>
    <w:qFormat/>
    <w:uiPriority w:val="99"/>
    <w:rPr>
      <w:rFonts w:asciiTheme="minorHAnsi" w:hAnsiTheme="minorHAnsi" w:eastAsiaTheme="minorEastAsia" w:cstheme="minorBidi"/>
      <w:kern w:val="2"/>
      <w:sz w:val="21"/>
      <w:szCs w:val="22"/>
    </w:rPr>
  </w:style>
  <w:style w:type="character" w:customStyle="1" w:styleId="24">
    <w:name w:val="批注主题 Char"/>
    <w:basedOn w:val="23"/>
    <w:link w:val="7"/>
    <w:semiHidden/>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E4EFC-239D-4785-9BD2-980E29CCEEC3}">
  <ds:schemaRefs/>
</ds:datastoreItem>
</file>

<file path=docProps/app.xml><?xml version="1.0" encoding="utf-8"?>
<Properties xmlns="http://schemas.openxmlformats.org/officeDocument/2006/extended-properties" xmlns:vt="http://schemas.openxmlformats.org/officeDocument/2006/docPropsVTypes">
  <Template>Normal</Template>
  <Pages>5</Pages>
  <Words>1922</Words>
  <Characters>2014</Characters>
  <Lines>15</Lines>
  <Paragraphs>4</Paragraphs>
  <TotalTime>0</TotalTime>
  <ScaleCrop>false</ScaleCrop>
  <LinksUpToDate>false</LinksUpToDate>
  <CharactersWithSpaces>2023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2023-05-25T09:36:00Z</dcterms:created>
  <dc:creator>q</dc:creator>
  <cp:lastModifiedBy>林君秋</cp:lastModifiedBy>
  <dcterms:modified xsi:type="dcterms:W3CDTF">2023-06-18T03:23:35Z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0CC5025B02426C6C87272664D5BAD382_33</vt:lpwstr>
  </property>
  <property fmtid="{D5CDD505-2E9C-101B-9397-08002B2CF9AE}" pid="3" name="KSOProductBuildVer">
    <vt:lpwstr>2052-11.1.0.14309</vt:lpwstr>
  </property>
</Properties>
</file>